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42E2" w14:textId="77777777" w:rsidR="002427F5" w:rsidRPr="002427F5" w:rsidRDefault="002427F5" w:rsidP="002427F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D7FA2F4" w14:textId="5E4EDA4A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kern w:val="0"/>
          <w:sz w:val="27"/>
          <w:szCs w:val="27"/>
        </w:rPr>
        <w:t xml:space="preserve"> </w:t>
      </w:r>
    </w:p>
    <w:p w14:paraId="672449A7" w14:textId="14678599" w:rsidR="002427F5" w:rsidRDefault="002427F5" w:rsidP="002427F5">
      <w:pPr>
        <w:widowControl/>
        <w:shd w:val="clear" w:color="auto" w:fill="FFFFFF"/>
        <w:jc w:val="left"/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. </w:t>
      </w:r>
    </w:p>
    <w:p w14:paraId="0EDDD595" w14:textId="02D6FEB7" w:rsidR="002427F5" w:rsidRPr="002427F5" w:rsidRDefault="002427F5" w:rsidP="002427F5">
      <w:pPr>
        <w:widowControl/>
        <w:shd w:val="clear" w:color="auto" w:fill="FFFFFF"/>
        <w:spacing w:after="240" w:line="336" w:lineRule="atLeast"/>
        <w:jc w:val="left"/>
        <w:outlineLvl w:val="0"/>
        <w:rPr>
          <w:rFonts w:ascii="Georgia" w:eastAsia="宋体" w:hAnsi="Georgia" w:cs="宋体" w:hint="eastAsia"/>
          <w:color w:val="333333"/>
          <w:kern w:val="36"/>
          <w:sz w:val="51"/>
          <w:szCs w:val="51"/>
        </w:rPr>
      </w:pPr>
      <w:r w:rsidRPr="002427F5">
        <w:rPr>
          <w:rFonts w:ascii="Georgia" w:eastAsia="宋体" w:hAnsi="Georgia" w:cs="宋体"/>
          <w:color w:val="333333"/>
          <w:kern w:val="36"/>
          <w:sz w:val="51"/>
          <w:szCs w:val="51"/>
        </w:rPr>
        <w:t>The Oxford Handbook of Deification. Proposal, table of contents</w:t>
      </w:r>
    </w:p>
    <w:p w14:paraId="4E2B1574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broader engagements about deification in order to explore what presently unites and divides Christians. </w:t>
      </w:r>
    </w:p>
    <w:p w14:paraId="65E2D7A8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Our project comprises 44 chapters; the maximum length for each contribution is 7,000 </w:t>
      </w:r>
    </w:p>
    <w:p w14:paraId="775DDF3E" w14:textId="4A78440A" w:rsidR="002427F5" w:rsidRDefault="002427F5" w:rsidP="002427F5">
      <w:pPr>
        <w:widowControl/>
        <w:shd w:val="clear" w:color="auto" w:fill="FFFFFF"/>
        <w:jc w:val="left"/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>words. The Foreword is about 1,000 words, and the Introduction is about 12,000 words</w:t>
      </w:r>
    </w:p>
    <w:p w14:paraId="29A89DE7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 w:hint="eastAsia"/>
          <w:color w:val="333333"/>
          <w:kern w:val="0"/>
          <w:szCs w:val="21"/>
        </w:rPr>
      </w:pPr>
    </w:p>
    <w:p w14:paraId="762A67E7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-BoldMT_1f" w:eastAsia="宋体" w:hAnsi="TimesNewRomanPS-BoldMT_1f" w:cs="宋体"/>
          <w:color w:val="000000"/>
          <w:spacing w:val="3"/>
          <w:kern w:val="0"/>
          <w:sz w:val="27"/>
          <w:szCs w:val="27"/>
        </w:rPr>
        <w:t xml:space="preserve">TABLE OF CONTENTS </w:t>
      </w:r>
    </w:p>
    <w:p w14:paraId="53E0F9C2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Foreword: Kallistos Ware (Metropolitan of </w:t>
      </w:r>
      <w:proofErr w:type="spellStart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>Diokleia</w:t>
      </w:r>
      <w:proofErr w:type="spellEnd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) </w:t>
      </w:r>
    </w:p>
    <w:p w14:paraId="78DA7698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-BoldMT_1k" w:eastAsia="宋体" w:hAnsi="TimesNewRomanPS-BoldMT_1k" w:cs="宋体"/>
          <w:color w:val="000000"/>
          <w:spacing w:val="2"/>
          <w:kern w:val="0"/>
          <w:sz w:val="27"/>
          <w:szCs w:val="27"/>
        </w:rPr>
        <w:t xml:space="preserve">Editors’ Introduction (Gavrilyuk, Hofer, Levering) </w:t>
      </w:r>
    </w:p>
    <w:p w14:paraId="70048D5E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-BoldMT_1f" w:eastAsia="宋体" w:hAnsi="TimesNewRomanPS-BoldMT_1f" w:cs="宋体"/>
          <w:color w:val="000000"/>
          <w:spacing w:val="2"/>
          <w:kern w:val="0"/>
          <w:sz w:val="27"/>
          <w:szCs w:val="27"/>
        </w:rPr>
        <w:t xml:space="preserve">Part I: Cultural and Scriptural Roots </w:t>
      </w:r>
    </w:p>
    <w:p w14:paraId="79B03B91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1"/>
          <w:kern w:val="0"/>
          <w:sz w:val="27"/>
          <w:szCs w:val="27"/>
        </w:rPr>
        <w:t xml:space="preserve">1. </w:t>
      </w: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Ancient Greek Cultural and Philosophical Background: Ivana Petrovic (University of </w:t>
      </w:r>
    </w:p>
    <w:p w14:paraId="78EA2395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Virginia) </w:t>
      </w:r>
    </w:p>
    <w:p w14:paraId="4963F959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1"/>
          <w:kern w:val="0"/>
          <w:sz w:val="27"/>
          <w:szCs w:val="27"/>
        </w:rPr>
        <w:t xml:space="preserve">2. </w:t>
      </w: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Hebrew Bible/Old Testament: Jennie Grillo (University of Notre Dame) </w:t>
      </w:r>
    </w:p>
    <w:p w14:paraId="1B61ACAB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1"/>
          <w:kern w:val="0"/>
          <w:sz w:val="27"/>
          <w:szCs w:val="27"/>
        </w:rPr>
        <w:t xml:space="preserve">3. </w:t>
      </w: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Intertestamental Literature and Philo: Grant Macaskill (University of Aberdeen) </w:t>
      </w:r>
    </w:p>
    <w:p w14:paraId="0D29CDBA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1"/>
          <w:kern w:val="0"/>
          <w:sz w:val="27"/>
          <w:szCs w:val="27"/>
        </w:rPr>
        <w:t xml:space="preserve">4. </w:t>
      </w: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The Pauline and Petrine Literature: Ben Blackwell (Houston Baptist University) </w:t>
      </w:r>
    </w:p>
    <w:p w14:paraId="17C6157D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1"/>
          <w:kern w:val="0"/>
          <w:sz w:val="27"/>
          <w:szCs w:val="27"/>
        </w:rPr>
        <w:t xml:space="preserve">5. </w:t>
      </w: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The Synoptic Gospels and the Johannine Literature: Edith M. Humphrey (Pittsburgh </w:t>
      </w:r>
    </w:p>
    <w:p w14:paraId="253329BD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Theological Seminary) </w:t>
      </w:r>
    </w:p>
    <w:p w14:paraId="36D4FC85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-BoldMT_1f" w:eastAsia="宋体" w:hAnsi="TimesNewRomanPS-BoldMT_1f" w:cs="宋体"/>
          <w:color w:val="000000"/>
          <w:spacing w:val="2"/>
          <w:kern w:val="0"/>
          <w:sz w:val="27"/>
          <w:szCs w:val="27"/>
        </w:rPr>
        <w:t xml:space="preserve">Part II: Soundings in the History of Christian Theology </w:t>
      </w:r>
    </w:p>
    <w:p w14:paraId="23E85163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-BoldItalicMT_1h" w:eastAsia="宋体" w:hAnsi="TimesNewRomanPS-BoldItalicMT_1h" w:cs="宋体"/>
          <w:color w:val="000000"/>
          <w:spacing w:val="2"/>
          <w:kern w:val="0"/>
          <w:sz w:val="27"/>
          <w:szCs w:val="27"/>
        </w:rPr>
        <w:t xml:space="preserve">Early: </w:t>
      </w:r>
    </w:p>
    <w:p w14:paraId="2286F8FE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1"/>
          <w:kern w:val="0"/>
          <w:sz w:val="27"/>
          <w:szCs w:val="27"/>
        </w:rPr>
        <w:t xml:space="preserve">6. </w:t>
      </w: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Second and Third-Century Greek Fathers: Norman Russell </w:t>
      </w:r>
    </w:p>
    <w:p w14:paraId="2F0ADA54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1"/>
          <w:kern w:val="0"/>
          <w:sz w:val="27"/>
          <w:szCs w:val="27"/>
        </w:rPr>
        <w:t xml:space="preserve">7. </w:t>
      </w: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Athanasius and the Cappadocians: Paul Blowers (Emmanuel Christian Seminary at </w:t>
      </w:r>
    </w:p>
    <w:p w14:paraId="4E6688E1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Milligan College) </w:t>
      </w:r>
    </w:p>
    <w:p w14:paraId="4E9DFAB3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1"/>
          <w:kern w:val="0"/>
          <w:sz w:val="27"/>
          <w:szCs w:val="27"/>
        </w:rPr>
        <w:t xml:space="preserve">8. </w:t>
      </w: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Macarius: Marcus Plested (Marquette University) </w:t>
      </w:r>
    </w:p>
    <w:p w14:paraId="1DA79280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1"/>
          <w:kern w:val="0"/>
          <w:sz w:val="27"/>
          <w:szCs w:val="27"/>
        </w:rPr>
        <w:t xml:space="preserve">9. </w:t>
      </w: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The Syriac Fathers: Adrian </w:t>
      </w:r>
      <w:proofErr w:type="spellStart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>Pirtea</w:t>
      </w:r>
      <w:proofErr w:type="spellEnd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 (Freie Universität Berlin, </w:t>
      </w:r>
      <w:proofErr w:type="spellStart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>Institut</w:t>
      </w:r>
      <w:proofErr w:type="spellEnd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 für </w:t>
      </w:r>
      <w:proofErr w:type="spellStart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>Griechische</w:t>
      </w:r>
      <w:proofErr w:type="spellEnd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 und </w:t>
      </w:r>
    </w:p>
    <w:p w14:paraId="40ABFA70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proofErr w:type="spellStart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>Lateinische</w:t>
      </w:r>
      <w:proofErr w:type="spellEnd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 </w:t>
      </w:r>
      <w:proofErr w:type="spellStart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>Philologie</w:t>
      </w:r>
      <w:proofErr w:type="spellEnd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) </w:t>
      </w:r>
    </w:p>
    <w:p w14:paraId="20B36E89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10. Early Latin Fathers and Augustine: David Meconi SJ (St. Louis University) </w:t>
      </w:r>
    </w:p>
    <w:p w14:paraId="1EA43B10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lastRenderedPageBreak/>
        <w:t xml:space="preserve">11. Cyril of Alexandria: John McGuckin (Columbia University) </w:t>
      </w:r>
    </w:p>
    <w:p w14:paraId="1D7A9E9F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12. Pseudo-Dionysius and Maximus the Confessor: Maximos Constas (Holy Cross Greek </w:t>
      </w:r>
    </w:p>
    <w:p w14:paraId="0423EA05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Orthodox School of Theology) </w:t>
      </w:r>
    </w:p>
    <w:p w14:paraId="70D57464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kern w:val="0"/>
          <w:sz w:val="27"/>
          <w:szCs w:val="27"/>
        </w:rPr>
        <w:t xml:space="preserve">4 </w:t>
      </w:r>
    </w:p>
    <w:p w14:paraId="47DF1178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-BoldItalicMT_1h" w:eastAsia="宋体" w:hAnsi="TimesNewRomanPS-BoldItalicMT_1h" w:cs="宋体"/>
          <w:color w:val="000000"/>
          <w:spacing w:val="2"/>
          <w:kern w:val="0"/>
          <w:sz w:val="27"/>
          <w:szCs w:val="27"/>
        </w:rPr>
        <w:t xml:space="preserve">Medieval: </w:t>
      </w:r>
    </w:p>
    <w:p w14:paraId="53AE0D39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13. Early Medieval Latin Authors: Brian Matz (Fontbonne University) </w:t>
      </w:r>
    </w:p>
    <w:p w14:paraId="573E1B5F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14. Symeon the New Theologian and Byzantine Monasticism: Archbishop Alexander </w:t>
      </w:r>
      <w:proofErr w:type="spellStart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>Golitzin</w:t>
      </w:r>
      <w:proofErr w:type="spellEnd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 </w:t>
      </w:r>
    </w:p>
    <w:p w14:paraId="04ACF949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(Archbishop of Dallas, the South and the Bulgarian Diocese) </w:t>
      </w:r>
    </w:p>
    <w:p w14:paraId="7AE41CF7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15. The Cistercians and Victorines: Boyd Taylor Coolman (Boston College) </w:t>
      </w:r>
    </w:p>
    <w:p w14:paraId="1C381975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16. Thomas Aquinas and Bonaventure: Daria Spezzano (Providence College) </w:t>
      </w:r>
    </w:p>
    <w:p w14:paraId="2F355C5F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17. Gregory </w:t>
      </w:r>
      <w:proofErr w:type="spellStart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>Palamas</w:t>
      </w:r>
      <w:proofErr w:type="spellEnd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 and </w:t>
      </w:r>
      <w:proofErr w:type="spellStart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>Palamism</w:t>
      </w:r>
      <w:proofErr w:type="spellEnd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: Alexis Torrance (University of Notre Dame) </w:t>
      </w:r>
    </w:p>
    <w:p w14:paraId="2D256B33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18. Western Vernacular Mystics: Louise </w:t>
      </w:r>
      <w:proofErr w:type="spellStart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>Nelstrop</w:t>
      </w:r>
      <w:proofErr w:type="spellEnd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 (University of Oxford) </w:t>
      </w:r>
    </w:p>
    <w:p w14:paraId="0F8E5055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-BoldItalicMT_1h" w:eastAsia="宋体" w:hAnsi="TimesNewRomanPS-BoldItalicMT_1h" w:cs="宋体"/>
          <w:color w:val="000000"/>
          <w:spacing w:val="3"/>
          <w:kern w:val="0"/>
          <w:sz w:val="27"/>
          <w:szCs w:val="27"/>
        </w:rPr>
        <w:t xml:space="preserve">Modern: </w:t>
      </w:r>
    </w:p>
    <w:p w14:paraId="61AC8752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19. Martin Luther and Early Lutherans: Antti Raunio (University of Eastern Finland) </w:t>
      </w:r>
    </w:p>
    <w:p w14:paraId="32D048B4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20. John Calvin and Early Reformed Theologians: Carl Mosser </w:t>
      </w:r>
    </w:p>
    <w:p w14:paraId="7B81FB27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21. Francis de Sales and French Spiritual Authors: Wendy M. Wright (Creighton University) </w:t>
      </w:r>
    </w:p>
    <w:p w14:paraId="448CF83C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22. Anglican Divines: Mark McInroy (University of St. Thomas, MN) </w:t>
      </w:r>
    </w:p>
    <w:p w14:paraId="6F1BF361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23. Moravian Brothers, Pietism, and John Wesley: Daniel Castelo (Seattle Pacific University) </w:t>
      </w:r>
    </w:p>
    <w:p w14:paraId="1E54CB6C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24. Nicodemos of the Holy Mountain and Makarios of Corinth: Andrew Louth (University of </w:t>
      </w:r>
    </w:p>
    <w:p w14:paraId="360CB963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Durham) </w:t>
      </w:r>
    </w:p>
    <w:p w14:paraId="2130EBED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25. Jacob Boehme, </w:t>
      </w:r>
      <w:r w:rsidRPr="002427F5">
        <w:rPr>
          <w:rFonts w:ascii="TimesNewRomanPSMT_1e" w:eastAsia="宋体" w:hAnsi="TimesNewRomanPSMT_1e" w:cs="宋体"/>
          <w:color w:val="000000"/>
          <w:spacing w:val="2"/>
          <w:kern w:val="0"/>
          <w:sz w:val="27"/>
          <w:szCs w:val="27"/>
        </w:rPr>
        <w:t>German Idealism and Romanticism: Cyril O’Regan (</w:t>
      </w: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University of Notre </w:t>
      </w:r>
    </w:p>
    <w:p w14:paraId="6CD79838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Dame) </w:t>
      </w:r>
    </w:p>
    <w:p w14:paraId="25F7943B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26. Nineteenth-Century Catholic and Anglican Theologians: Frederick Aquino (Abilene </w:t>
      </w:r>
    </w:p>
    <w:p w14:paraId="25FE66E3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Christian University) </w:t>
      </w:r>
    </w:p>
    <w:p w14:paraId="2BBDE8EF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27. Late Nineteenth and Early Twentieth-Century Russian Religious Thinkers: Ruth Coates </w:t>
      </w:r>
    </w:p>
    <w:p w14:paraId="2F9DE3D4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(University of Bristol) </w:t>
      </w:r>
    </w:p>
    <w:p w14:paraId="573A0F09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28. Karl Barth and Critiques of Deification: Cambria Kaltwasser (Northwestern College, IA) </w:t>
      </w:r>
    </w:p>
    <w:p w14:paraId="695FAFFF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29. Orthodox </w:t>
      </w:r>
      <w:proofErr w:type="spellStart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>Neopatristic</w:t>
      </w:r>
      <w:proofErr w:type="spellEnd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 Theologians: Paul L. Gavrilyuk (University of St. Thomas, MN) </w:t>
      </w:r>
    </w:p>
    <w:p w14:paraId="16EFC0C7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30. Neo-Scholasticism and </w:t>
      </w:r>
      <w:r w:rsidRPr="002427F5">
        <w:rPr>
          <w:rFonts w:ascii="TimesNewRomanPS-ItalicMT_1j" w:eastAsia="宋体" w:hAnsi="TimesNewRomanPS-ItalicMT_1j" w:cs="宋体"/>
          <w:color w:val="000000"/>
          <w:spacing w:val="2"/>
          <w:kern w:val="0"/>
          <w:sz w:val="27"/>
          <w:szCs w:val="27"/>
        </w:rPr>
        <w:t xml:space="preserve">Nouvelle </w:t>
      </w:r>
      <w:proofErr w:type="spellStart"/>
      <w:r w:rsidRPr="002427F5">
        <w:rPr>
          <w:rFonts w:ascii="TimesNewRomanPS-ItalicMT_1j" w:eastAsia="宋体" w:hAnsi="TimesNewRomanPS-ItalicMT_1j" w:cs="宋体"/>
          <w:color w:val="000000"/>
          <w:spacing w:val="2"/>
          <w:kern w:val="0"/>
          <w:sz w:val="27"/>
          <w:szCs w:val="27"/>
        </w:rPr>
        <w:t>Théologie</w:t>
      </w:r>
      <w:proofErr w:type="spellEnd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: Jennifer Martin (University of Notre Dame) </w:t>
      </w:r>
    </w:p>
    <w:p w14:paraId="06C33E6E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kern w:val="0"/>
          <w:sz w:val="27"/>
          <w:szCs w:val="27"/>
        </w:rPr>
        <w:lastRenderedPageBreak/>
        <w:t xml:space="preserve">5 </w:t>
      </w:r>
    </w:p>
    <w:p w14:paraId="0B3EB4EA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31. Recent Anglican and Protestant Approaches: Katherine Sonderegger (Virginia Theological </w:t>
      </w:r>
    </w:p>
    <w:p w14:paraId="7FAF3C43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Seminary) </w:t>
      </w:r>
    </w:p>
    <w:p w14:paraId="00A7CC95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32. Recent Greek Orthodox Theologians: Pantelis Kalaitzidis (Volos Theological Academy) </w:t>
      </w:r>
    </w:p>
    <w:p w14:paraId="40601585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-BoldMT_1f" w:eastAsia="宋体" w:hAnsi="TimesNewRomanPS-BoldMT_1f" w:cs="宋体"/>
          <w:color w:val="000000"/>
          <w:spacing w:val="2"/>
          <w:kern w:val="0"/>
          <w:sz w:val="27"/>
          <w:szCs w:val="27"/>
        </w:rPr>
        <w:t xml:space="preserve">Part III: Systematic Connections </w:t>
      </w:r>
    </w:p>
    <w:p w14:paraId="41265B4C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33. Deification and the Metaphysics of Participation: Andrew Davison (University of </w:t>
      </w:r>
    </w:p>
    <w:p w14:paraId="77893897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Cambridge). </w:t>
      </w:r>
    </w:p>
    <w:p w14:paraId="664CEBB8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34. Deification and the Trinity: Gilles Emery (Université de Fribourg) </w:t>
      </w:r>
    </w:p>
    <w:p w14:paraId="2FFBDD38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35. Deification and Christology: David Luy (Trinity Evangelical Divinity School) </w:t>
      </w:r>
    </w:p>
    <w:p w14:paraId="6C626BFB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36. Deification and Ecclesiology (in relation to Christology): Cyril </w:t>
      </w:r>
      <w:proofErr w:type="spellStart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>Hovorun</w:t>
      </w:r>
      <w:proofErr w:type="spellEnd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 (Loyola Marymount </w:t>
      </w:r>
    </w:p>
    <w:p w14:paraId="16D576B2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University) </w:t>
      </w:r>
    </w:p>
    <w:p w14:paraId="16373D8B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37. Deification, Justification, and Sanctification: Athanasios </w:t>
      </w:r>
      <w:proofErr w:type="spellStart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>Despotis</w:t>
      </w:r>
      <w:proofErr w:type="spellEnd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 (Universität Bonn) </w:t>
      </w:r>
    </w:p>
    <w:p w14:paraId="6040BDC8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38. Deification, Prayer, Liturgy, and Sacraments: Daniel Keating (Sacred Heart Major Seminary) </w:t>
      </w:r>
    </w:p>
    <w:p w14:paraId="2EBD9C04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39. Deification and Ecology: Elizabeth </w:t>
      </w:r>
      <w:proofErr w:type="spellStart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>Theokritoff</w:t>
      </w:r>
      <w:proofErr w:type="spellEnd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 (Institute for Orthodox Christian Studies, </w:t>
      </w:r>
    </w:p>
    <w:p w14:paraId="3B1710AF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Cambridge) </w:t>
      </w:r>
    </w:p>
    <w:p w14:paraId="7EE7CB22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40. Deification and Theological Anthropology: Gabrielle Thomas (Yale University) </w:t>
      </w:r>
    </w:p>
    <w:p w14:paraId="1D68D515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41. Deification and Disabilities: Miguel J. Romero (Salve Regina University) </w:t>
      </w:r>
    </w:p>
    <w:p w14:paraId="59C358AD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42. Deification and the Visual Arts: Nicholas </w:t>
      </w:r>
      <w:proofErr w:type="spellStart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>Denysenko</w:t>
      </w:r>
      <w:proofErr w:type="spellEnd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 (Valparaiso University) </w:t>
      </w:r>
    </w:p>
    <w:p w14:paraId="362DBAB7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43. Deification and Eschatology: Tracey Rowland (University of Notre Dame Australia) </w:t>
      </w:r>
    </w:p>
    <w:p w14:paraId="1360DE77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44. Ecumenical Dialogues: Olli-Pekka Vainio (University of Helsinki) </w:t>
      </w:r>
    </w:p>
    <w:p w14:paraId="064348DC" w14:textId="77777777" w:rsidR="002427F5" w:rsidRPr="002427F5" w:rsidRDefault="002427F5" w:rsidP="002427F5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>45. Dialogues with Judaism and Islam: Rita George-</w:t>
      </w:r>
      <w:proofErr w:type="spellStart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>Tvrtkovic</w:t>
      </w:r>
      <w:proofErr w:type="spellEnd"/>
      <w:r w:rsidRPr="002427F5">
        <w:rPr>
          <w:rFonts w:ascii="TimesNewRomanPSMT_1g" w:eastAsia="宋体" w:hAnsi="TimesNewRomanPSMT_1g" w:cs="宋体"/>
          <w:color w:val="000000"/>
          <w:spacing w:val="2"/>
          <w:kern w:val="0"/>
          <w:sz w:val="27"/>
          <w:szCs w:val="27"/>
        </w:rPr>
        <w:t xml:space="preserve"> (Benedictine University) </w:t>
      </w:r>
    </w:p>
    <w:p w14:paraId="0216CD59" w14:textId="77777777" w:rsidR="00A60A48" w:rsidRPr="002427F5" w:rsidRDefault="00A60A48"/>
    <w:sectPr w:rsidR="00A60A48" w:rsidRPr="00242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_1g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MT_1f">
    <w:altName w:val="Times New Roman"/>
    <w:panose1 w:val="00000000000000000000"/>
    <w:charset w:val="00"/>
    <w:family w:val="roman"/>
    <w:notTrueType/>
    <w:pitch w:val="default"/>
  </w:font>
  <w:font w:name="TimesNewRomanPS-BoldMT_1k">
    <w:altName w:val="Times New Roman"/>
    <w:panose1 w:val="00000000000000000000"/>
    <w:charset w:val="00"/>
    <w:family w:val="roman"/>
    <w:notTrueType/>
    <w:pitch w:val="default"/>
  </w:font>
  <w:font w:name="TimesNewRomanPS-BoldItalicMT_1h">
    <w:altName w:val="Times New Roman"/>
    <w:panose1 w:val="00000000000000000000"/>
    <w:charset w:val="00"/>
    <w:family w:val="roman"/>
    <w:notTrueType/>
    <w:pitch w:val="default"/>
  </w:font>
  <w:font w:name="TimesNewRomanPSMT_1e">
    <w:altName w:val="Times New Roman"/>
    <w:panose1 w:val="00000000000000000000"/>
    <w:charset w:val="00"/>
    <w:family w:val="roman"/>
    <w:notTrueType/>
    <w:pitch w:val="default"/>
  </w:font>
  <w:font w:name="TimesNewRomanPS-ItalicMT_1j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F5"/>
    <w:rsid w:val="002427F5"/>
    <w:rsid w:val="00A6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A167F"/>
  <w15:chartTrackingRefBased/>
  <w15:docId w15:val="{B185F77D-CB58-44B5-A3C0-8216B3BE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5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9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70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Liu</dc:creator>
  <cp:keywords/>
  <dc:description/>
  <cp:lastModifiedBy>Samuel Liu</cp:lastModifiedBy>
  <cp:revision>1</cp:revision>
  <dcterms:created xsi:type="dcterms:W3CDTF">2024-04-08T01:12:00Z</dcterms:created>
  <dcterms:modified xsi:type="dcterms:W3CDTF">2024-04-08T01:16:00Z</dcterms:modified>
</cp:coreProperties>
</file>